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:rsidR="0082771F" w:rsidRDefault="00B510F6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2021</w:t>
      </w:r>
      <w:r w:rsidR="00D827CC" w:rsidRPr="00E05B6C">
        <w:rPr>
          <w:szCs w:val="28"/>
          <w:lang w:eastAsia="ar-SA"/>
        </w:rPr>
        <w:t xml:space="preserve">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</w:t>
      </w:r>
      <w:bookmarkStart w:id="0" w:name="_GoBack"/>
      <w:bookmarkEnd w:id="0"/>
      <w:r w:rsidR="00D827CC" w:rsidRPr="00E05B6C">
        <w:rPr>
          <w:szCs w:val="28"/>
          <w:lang w:eastAsia="ar-SA"/>
        </w:rPr>
        <w:tab/>
        <w:t xml:space="preserve">    </w:t>
      </w:r>
      <w:r w:rsidR="00F3041E"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 w:rsidR="00F3041E">
        <w:rPr>
          <w:szCs w:val="28"/>
          <w:lang w:eastAsia="ar-SA"/>
        </w:rPr>
        <w:t>Пешково</w:t>
      </w:r>
    </w:p>
    <w:p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Pr="00B510F6" w:rsidRDefault="00F3041E" w:rsidP="00B510F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3041E">
        <w:rPr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 </w:t>
      </w:r>
      <w:r w:rsidR="00B510F6" w:rsidRPr="00B510F6">
        <w:rPr>
          <w:color w:val="000000" w:themeColor="text1"/>
          <w:szCs w:val="28"/>
        </w:rPr>
        <w:t xml:space="preserve">30.12.2020 г.                          </w:t>
      </w:r>
      <w:r w:rsidR="00B510F6">
        <w:rPr>
          <w:color w:val="000000" w:themeColor="text1"/>
          <w:szCs w:val="28"/>
        </w:rPr>
        <w:t xml:space="preserve">                      № 219</w:t>
      </w:r>
      <w:proofErr w:type="gramStart"/>
      <w:r w:rsidR="00B510F6">
        <w:rPr>
          <w:color w:val="000000" w:themeColor="text1"/>
          <w:szCs w:val="28"/>
        </w:rPr>
        <w:t xml:space="preserve"> </w:t>
      </w:r>
      <w:r w:rsidR="00B510F6" w:rsidRPr="00B510F6">
        <w:rPr>
          <w:color w:val="000000" w:themeColor="text1"/>
          <w:szCs w:val="28"/>
        </w:rPr>
        <w:t>О</w:t>
      </w:r>
      <w:proofErr w:type="gramEnd"/>
      <w:r w:rsidR="00B510F6" w:rsidRPr="00B510F6">
        <w:rPr>
          <w:color w:val="000000" w:themeColor="text1"/>
          <w:szCs w:val="28"/>
        </w:rPr>
        <w:t>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 2021 год.</w:t>
      </w:r>
    </w:p>
    <w:p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B510F6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ПОСТАНОВЛЯЮ</w:t>
      </w:r>
      <w:r w:rsidR="0082771F" w:rsidRPr="00BF7C79">
        <w:rPr>
          <w:spacing w:val="60"/>
          <w:kern w:val="2"/>
          <w:szCs w:val="28"/>
        </w:rPr>
        <w:t>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="00B510F6">
              <w:rPr>
                <w:color w:val="FF0000"/>
                <w:szCs w:val="28"/>
              </w:rPr>
              <w:t>23408,2</w:t>
            </w:r>
            <w:r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B510F6">
              <w:rPr>
                <w:color w:val="FF0000"/>
                <w:szCs w:val="28"/>
              </w:rPr>
              <w:t>3220,2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B510F6">
              <w:rPr>
                <w:color w:val="FF0000"/>
                <w:szCs w:val="28"/>
              </w:rPr>
              <w:t>3069,3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 w:rsidR="00B510F6"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B510F6"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lastRenderedPageBreak/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6D3600" w:rsidRPr="00F3041E" w:rsidRDefault="00264B1F" w:rsidP="006D3600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6D3600">
              <w:rPr>
                <w:color w:val="FF0000"/>
                <w:szCs w:val="28"/>
              </w:rPr>
              <w:t>23408,2</w:t>
            </w:r>
            <w:r w:rsidR="006D3600"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1528,7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>
              <w:rPr>
                <w:color w:val="FF0000"/>
                <w:szCs w:val="28"/>
              </w:rPr>
              <w:t>3220,2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>
              <w:rPr>
                <w:color w:val="FF0000"/>
                <w:szCs w:val="28"/>
              </w:rPr>
              <w:t>3069,3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6D3600" w:rsidP="006D3600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headerReference w:type="default" r:id="rId9"/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28"/>
        <w:gridCol w:w="15"/>
        <w:gridCol w:w="763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6D36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6D3600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123038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D827CC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3220,2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6D3600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3220,2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3491,8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380,0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391,8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</w:t>
            </w:r>
            <w:r w:rsidR="00264B1F"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264B1F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19768,5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0E4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1076,0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1037,9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70787C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2970,2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3059,3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3150,9</w:t>
            </w:r>
            <w:r w:rsid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 w:rsid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</w:tr>
    </w:tbl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93"/>
        <w:gridCol w:w="849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FE13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E13F5">
              <w:rPr>
                <w:rFonts w:eastAsia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6F031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827CC" w:rsidRPr="00BF712E" w:rsidTr="006F031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="00D827CC"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FE13F5" w:rsidRPr="00BF712E" w:rsidTr="006F031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9854CF" w:rsidRDefault="00FE13F5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F031C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6F031C" w:rsidRPr="00BF712E" w:rsidRDefault="006F031C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6F031C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3A" w:rsidRDefault="0038553A" w:rsidP="00EB0CA8">
      <w:r>
        <w:separator/>
      </w:r>
    </w:p>
  </w:endnote>
  <w:endnote w:type="continuationSeparator" w:id="0">
    <w:p w:rsidR="0038553A" w:rsidRDefault="0038553A" w:rsidP="00EB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3A" w:rsidRDefault="0038553A" w:rsidP="00EB0CA8">
      <w:r>
        <w:separator/>
      </w:r>
    </w:p>
  </w:footnote>
  <w:footnote w:type="continuationSeparator" w:id="0">
    <w:p w:rsidR="0038553A" w:rsidRDefault="0038553A" w:rsidP="00EB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A8" w:rsidRDefault="00EB0CA8">
    <w:pPr>
      <w:pStyle w:val="ad"/>
    </w:pPr>
    <w:r>
      <w:t>Проект</w:t>
    </w:r>
  </w:p>
  <w:p w:rsidR="00EB0CA8" w:rsidRDefault="00EB0C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23038"/>
    <w:rsid w:val="00144D95"/>
    <w:rsid w:val="00153084"/>
    <w:rsid w:val="001B5CAD"/>
    <w:rsid w:val="001F29F3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8D"/>
    <w:rsid w:val="0038553A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3600"/>
    <w:rsid w:val="006D55C7"/>
    <w:rsid w:val="006F031C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93BC9"/>
    <w:rsid w:val="008C2376"/>
    <w:rsid w:val="008C7659"/>
    <w:rsid w:val="008D47F4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F58E5"/>
    <w:rsid w:val="00B40853"/>
    <w:rsid w:val="00B46FAC"/>
    <w:rsid w:val="00B510F6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6FA7"/>
    <w:rsid w:val="00E26681"/>
    <w:rsid w:val="00E3798B"/>
    <w:rsid w:val="00E820DA"/>
    <w:rsid w:val="00E96762"/>
    <w:rsid w:val="00EB0CA8"/>
    <w:rsid w:val="00EB72CC"/>
    <w:rsid w:val="00EE739C"/>
    <w:rsid w:val="00F3041E"/>
    <w:rsid w:val="00F44C85"/>
    <w:rsid w:val="00F47B99"/>
    <w:rsid w:val="00F71DFB"/>
    <w:rsid w:val="00F72035"/>
    <w:rsid w:val="00F8486E"/>
    <w:rsid w:val="00FB0452"/>
    <w:rsid w:val="00FB27C8"/>
    <w:rsid w:val="00FE13F5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0C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CA8"/>
  </w:style>
  <w:style w:type="paragraph" w:styleId="af">
    <w:name w:val="footer"/>
    <w:basedOn w:val="a"/>
    <w:link w:val="af0"/>
    <w:uiPriority w:val="99"/>
    <w:unhideWhenUsed/>
    <w:rsid w:val="00EB0C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0C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CA8"/>
  </w:style>
  <w:style w:type="paragraph" w:styleId="af">
    <w:name w:val="footer"/>
    <w:basedOn w:val="a"/>
    <w:link w:val="af0"/>
    <w:uiPriority w:val="99"/>
    <w:unhideWhenUsed/>
    <w:rsid w:val="00EB0C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496-019C-441C-9D55-2BA4062C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2020-11-27T07:15:00Z</cp:lastPrinted>
  <dcterms:created xsi:type="dcterms:W3CDTF">2021-02-19T13:24:00Z</dcterms:created>
  <dcterms:modified xsi:type="dcterms:W3CDTF">2022-02-08T13:27:00Z</dcterms:modified>
</cp:coreProperties>
</file>