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585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ДМИНИСТРАЦИЯ</w:t>
      </w:r>
    </w:p>
    <w:p w14:paraId="02000000">
      <w:pPr>
        <w:tabs>
          <w:tab w:leader="none" w:pos="1055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ПЕШКОВСКОГО СЕЛЬСКОГО ПОСЕЛЕНИЯ</w:t>
      </w:r>
    </w:p>
    <w:p w14:paraId="03000000">
      <w:pPr>
        <w:tabs>
          <w:tab w:leader="none" w:pos="1055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АЗОВСКОГО РАЙОНА РОСТОВСКОЙ ОБЛАСТИ</w:t>
      </w:r>
    </w:p>
    <w:p w14:paraId="04000000">
      <w:pPr>
        <w:tabs>
          <w:tab w:leader="none" w:pos="3332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«23» мая 2023 г.                                          №</w:t>
      </w:r>
      <w:r>
        <w:rPr>
          <w:rFonts w:ascii="Times New Roman" w:hAnsi="Times New Roman"/>
          <w:sz w:val="28"/>
        </w:rPr>
        <w:t xml:space="preserve"> 122                            с. </w:t>
      </w:r>
      <w:r>
        <w:rPr>
          <w:rFonts w:ascii="Times New Roman" w:hAnsi="Times New Roman"/>
          <w:sz w:val="28"/>
        </w:rPr>
        <w:t>Пешково</w:t>
      </w:r>
    </w:p>
    <w:p w14:paraId="06000000">
      <w:pPr>
        <w:pStyle w:val="Style_1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системы мониторинга </w:t>
      </w:r>
    </w:p>
    <w:p w14:paraId="0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профилактике </w:t>
      </w:r>
      <w:r>
        <w:rPr>
          <w:rFonts w:ascii="Times New Roman" w:hAnsi="Times New Roman"/>
          <w:sz w:val="28"/>
        </w:rPr>
        <w:t>межнациональных</w:t>
      </w:r>
      <w:r>
        <w:rPr>
          <w:rFonts w:ascii="Times New Roman" w:hAnsi="Times New Roman"/>
          <w:sz w:val="28"/>
        </w:rPr>
        <w:t xml:space="preserve">, </w:t>
      </w:r>
    </w:p>
    <w:p w14:paraId="08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межконфессиональных конфликтов </w:t>
      </w:r>
      <w:r>
        <w:rPr>
          <w:rFonts w:ascii="Times New Roman" w:hAnsi="Times New Roman"/>
          <w:sz w:val="28"/>
        </w:rPr>
        <w:t xml:space="preserve">на территории </w:t>
      </w:r>
    </w:p>
    <w:p w14:paraId="0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25.07.2002 года № 114-ФЗ «О противодействии экстремистской деятельности», с учѐтом положений Федерального закона от 22.10.2013 года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</w:t>
      </w:r>
      <w:r>
        <w:rPr>
          <w:rFonts w:ascii="Times New Roman" w:hAnsi="Times New Roman"/>
          <w:sz w:val="28"/>
        </w:rPr>
        <w:t xml:space="preserve"> и их должностных лиц в сфере межнациональных отношений», Администрация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ПОСТАНОВЛЯЕТ: 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систему мониторинга по профилактике межнациональных, межконфессиональных конфликтов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(далее - мониторинг), согласно приложению 1 к настоящему постановлению. </w:t>
      </w: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перечень показателей мониторинга согласно приложению 2 к настоящему постановлению. </w:t>
      </w: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Настоящее постановление вступает в силу с момента его подписания и подлежит </w:t>
      </w:r>
      <w:r>
        <w:rPr>
          <w:rFonts w:ascii="Times New Roman" w:hAnsi="Times New Roman"/>
          <w:sz w:val="28"/>
        </w:rPr>
        <w:t xml:space="preserve">обнародованию и </w:t>
      </w:r>
      <w:r>
        <w:rPr>
          <w:rFonts w:ascii="Times New Roman" w:hAnsi="Times New Roman"/>
          <w:sz w:val="28"/>
        </w:rPr>
        <w:t xml:space="preserve">размещению в сети Интернет на официальном сайте Администрации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2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заместителя главы Администрации Пешковского</w:t>
      </w:r>
      <w:r>
        <w:rPr>
          <w:rFonts w:ascii="Times New Roman" w:hAnsi="Times New Roman"/>
          <w:sz w:val="28"/>
        </w:rPr>
        <w:t xml:space="preserve"> сельского поселения Каграманова Р.А.</w:t>
      </w:r>
    </w:p>
    <w:p w14:paraId="13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4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6447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А.В.Ковалев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br w:type="page"/>
      </w:r>
    </w:p>
    <w:p w14:paraId="1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к постановлению </w:t>
      </w: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Пешковского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</w:t>
      </w:r>
      <w:r>
        <w:rPr>
          <w:rFonts w:ascii="Times New Roman" w:hAnsi="Times New Roman"/>
          <w:sz w:val="24"/>
        </w:rPr>
        <w:t>.05.2023</w:t>
      </w:r>
      <w:r>
        <w:rPr>
          <w:rFonts w:ascii="Times New Roman" w:hAnsi="Times New Roman"/>
          <w:sz w:val="24"/>
        </w:rPr>
        <w:t xml:space="preserve"> №122 </w:t>
      </w:r>
    </w:p>
    <w:p w14:paraId="1B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Система мониторинга по профилактике межнациональных, межконфессиональных конфликтов на территории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D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E000000">
      <w:pPr>
        <w:pStyle w:val="Style_1"/>
        <w:numPr>
          <w:ilvl w:val="0"/>
          <w:numId w:val="1"/>
        </w:num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положения</w:t>
      </w:r>
    </w:p>
    <w:p w14:paraId="1F000000">
      <w:pPr>
        <w:pStyle w:val="Style_1"/>
        <w:ind w:firstLine="0" w:left="720"/>
        <w:rPr>
          <w:rFonts w:ascii="Times New Roman" w:hAnsi="Times New Roman"/>
          <w:sz w:val="28"/>
        </w:rPr>
      </w:pPr>
    </w:p>
    <w:p w14:paraId="20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Главной целью мониторинга по профилактике межнациональных, межконфессиональных конфликтов (далее – мониторинг) является формирование объективной оценки состояния государственно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конфессиональных, межконфессиональных и межнациональных отношений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выявление потенциально опасных с точки зрения возможных проявлений национального и религиозного экстремизма проблем жизнедеятельности муниципального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  <w:r>
        <w:rPr>
          <w:rFonts w:ascii="Times New Roman" w:hAnsi="Times New Roman"/>
          <w:sz w:val="28"/>
        </w:rPr>
        <w:t xml:space="preserve"> Система мониторинга и оперативного реагирования предусматривает также:</w:t>
      </w:r>
    </w:p>
    <w:p w14:paraId="21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совершенствование форм и методов работы органов местного самоуправления </w:t>
      </w:r>
      <w:r>
        <w:rPr>
          <w:rFonts w:ascii="Times New Roman" w:hAnsi="Times New Roman"/>
          <w:sz w:val="28"/>
        </w:rPr>
        <w:t>на территории 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и подразделений правоохранительных органов по профилактике экстремизма, проявлений национальной, расовой и религиозной нетерпимости, противодействия этнической дискриминации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; </w:t>
      </w:r>
    </w:p>
    <w:p w14:paraId="22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снижение социальной напряжѐнности в обществе, обусловленной риском проявлений экстремизма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укрепление межнационального, межконфессионального мира и согласия;</w:t>
      </w:r>
    </w:p>
    <w:p w14:paraId="23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недопущение создания и деятельности </w:t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националистических и экстремистских группировок. </w:t>
      </w:r>
    </w:p>
    <w:p w14:paraId="24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1"/>
        <w:numPr>
          <w:ilvl w:val="0"/>
          <w:numId w:val="1"/>
        </w:num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действий при выявлении в ходе мониторинга проявлений с признаками экстремизма</w:t>
      </w:r>
    </w:p>
    <w:p w14:paraId="27000000">
      <w:pPr>
        <w:pStyle w:val="Style_1"/>
        <w:ind w:firstLine="0" w:left="720"/>
        <w:rPr>
          <w:rFonts w:ascii="Times New Roman" w:hAnsi="Times New Roman"/>
          <w:sz w:val="28"/>
        </w:rPr>
      </w:pPr>
    </w:p>
    <w:p w14:paraId="28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выявлении в ходе проведения мониторинга фактов проявлений с признаками экстремизма незамедлительно, в течение 1 рабочего дня, направ</w:t>
      </w:r>
      <w:r>
        <w:rPr>
          <w:rFonts w:ascii="Times New Roman" w:hAnsi="Times New Roman"/>
          <w:sz w:val="28"/>
        </w:rPr>
        <w:t>ить</w:t>
      </w:r>
      <w:r>
        <w:rPr>
          <w:rFonts w:ascii="Times New Roman" w:hAnsi="Times New Roman"/>
          <w:sz w:val="28"/>
        </w:rPr>
        <w:t xml:space="preserve"> информацию об этом в МО МВД России «Азовский» для проведения проверки. Одновременно копия информации направляется в отдел культуры Администрации Азовского района, как ответственный орган по взаимодействию с политическими партиями, общественными организациями, национальными диаспорами и религиозными объединениями Администрации Азовского района. </w:t>
      </w:r>
    </w:p>
    <w:p w14:paraId="29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C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D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E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2F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30000000">
      <w:pPr>
        <w:pStyle w:val="Style_1"/>
        <w:numPr>
          <w:ilvl w:val="0"/>
          <w:numId w:val="1"/>
        </w:num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сроки сбора и направления информации по показателям мониторинга</w:t>
      </w:r>
    </w:p>
    <w:p w14:paraId="31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сбор информации по показателям мониторинга самостоятельно или с привлечением подведомственных учреждений. Допускается получение статистической и иной информации по показателям мониторинга. </w:t>
      </w:r>
      <w:r>
        <w:rPr>
          <w:rFonts w:ascii="Times New Roman" w:hAnsi="Times New Roman"/>
          <w:sz w:val="28"/>
        </w:rPr>
        <w:t xml:space="preserve">Отчѐты и информационные справки о результатах мониторинга по показателям направляются ежемесячно в срок до 05 числа месяца следующего за отчѐтным, в отдел культуры Администрации Азовского района, как ответственный орган по взаимодействию с политическими партиями, общественными организациями, национальными диаспорами и религиозными объединениями Администрации Азовского района в печатном и электронном видах. </w:t>
      </w:r>
    </w:p>
    <w:p w14:paraId="32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33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34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35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36000000">
      <w:pPr>
        <w:tabs>
          <w:tab w:leader="none" w:pos="6447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Пешковского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А.В. Ковалев</w:t>
      </w:r>
    </w:p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br w:type="page"/>
      </w:r>
    </w:p>
    <w:p w14:paraId="38000000">
      <w:pPr>
        <w:pStyle w:val="Style_1"/>
        <w:ind w:firstLine="360" w:left="0"/>
        <w:jc w:val="right"/>
        <w:rPr>
          <w:rFonts w:ascii="Times New Roman" w:hAnsi="Times New Roman"/>
          <w:sz w:val="24"/>
        </w:rPr>
      </w:pPr>
    </w:p>
    <w:p w14:paraId="39000000">
      <w:pPr>
        <w:pStyle w:val="Style_1"/>
        <w:ind w:firstLine="360" w:left="0"/>
        <w:jc w:val="right"/>
        <w:rPr>
          <w:rFonts w:ascii="Times New Roman" w:hAnsi="Times New Roman"/>
          <w:sz w:val="24"/>
        </w:rPr>
      </w:pPr>
    </w:p>
    <w:p w14:paraId="3A000000">
      <w:pPr>
        <w:pStyle w:val="Style_1"/>
        <w:ind w:firstLine="36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к постановлению </w:t>
      </w:r>
    </w:p>
    <w:p w14:paraId="3B000000">
      <w:pPr>
        <w:pStyle w:val="Style_1"/>
        <w:ind w:firstLine="36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Пешковского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</w:t>
      </w:r>
    </w:p>
    <w:p w14:paraId="3C000000">
      <w:pPr>
        <w:pStyle w:val="Style_1"/>
        <w:ind w:firstLine="36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</w:t>
      </w:r>
      <w:r>
        <w:rPr>
          <w:rFonts w:ascii="Times New Roman" w:hAnsi="Times New Roman"/>
          <w:sz w:val="24"/>
        </w:rPr>
        <w:t>.05.2023</w:t>
      </w:r>
      <w:r>
        <w:rPr>
          <w:rFonts w:ascii="Times New Roman" w:hAnsi="Times New Roman"/>
          <w:sz w:val="24"/>
        </w:rPr>
        <w:t xml:space="preserve"> №122   </w:t>
      </w:r>
      <w:r>
        <w:rPr>
          <w:rFonts w:ascii="Times New Roman" w:hAnsi="Times New Roman"/>
          <w:sz w:val="24"/>
        </w:rPr>
        <w:t xml:space="preserve"> </w:t>
      </w:r>
    </w:p>
    <w:p w14:paraId="3D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3E000000">
      <w:pPr>
        <w:pStyle w:val="Style_1"/>
        <w:ind w:firstLine="36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показателей мониторинга</w:t>
      </w:r>
    </w:p>
    <w:p w14:paraId="3F000000">
      <w:pPr>
        <w:pStyle w:val="Style_1"/>
        <w:ind w:firstLine="360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938"/>
        <w:gridCol w:w="8700"/>
      </w:tblGrid>
      <w:tr>
        <w:tc>
          <w:tcPr>
            <w:tcW w:type="dxa" w:w="938"/>
          </w:tcPr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8700"/>
          </w:tcPr>
          <w:p w14:paraId="41000000">
            <w:pPr>
              <w:pStyle w:val="Style_1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Информационные материалы и показатели мониторинга</w:t>
            </w:r>
          </w:p>
        </w:tc>
      </w:tr>
      <w:tr>
        <w:tc>
          <w:tcPr>
            <w:tcW w:type="dxa" w:w="938"/>
          </w:tcPr>
          <w:p w14:paraId="4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8700"/>
          </w:tcPr>
          <w:p w14:paraId="4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</w:tr>
      <w:tr>
        <w:tc>
          <w:tcPr>
            <w:tcW w:type="dxa" w:w="938"/>
          </w:tcPr>
          <w:p w14:paraId="4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8700"/>
          </w:tcPr>
          <w:p w14:paraId="4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выявленных потенциально конфликтных ситуаций и конфликтов в сфере межрелигиозных и государственно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конфессиональных отношений</w:t>
            </w:r>
          </w:p>
        </w:tc>
      </w:tr>
      <w:tr>
        <w:tc>
          <w:tcPr>
            <w:tcW w:type="dxa" w:w="938"/>
          </w:tcPr>
          <w:p w14:paraId="4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8700"/>
          </w:tcPr>
          <w:p w14:paraId="4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</w:tr>
      <w:tr>
        <w:tc>
          <w:tcPr>
            <w:tcW w:type="dxa" w:w="938"/>
          </w:tcPr>
          <w:p w14:paraId="4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8700"/>
          </w:tcPr>
          <w:p w14:paraId="4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проведѐнных мероприятий по выявлению фактов нарушения миграционного законодательства</w:t>
            </w:r>
          </w:p>
        </w:tc>
      </w:tr>
      <w:tr>
        <w:tc>
          <w:tcPr>
            <w:tcW w:type="dxa" w:w="938"/>
          </w:tcPr>
          <w:p w14:paraId="4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8700"/>
          </w:tcPr>
          <w:p w14:paraId="4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выявленных нарушений миграционного законодательства</w:t>
            </w:r>
          </w:p>
        </w:tc>
      </w:tr>
      <w:tr>
        <w:tc>
          <w:tcPr>
            <w:tcW w:type="dxa" w:w="938"/>
          </w:tcPr>
          <w:p w14:paraId="4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8700"/>
          </w:tcPr>
          <w:p w14:paraId="4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</w:tr>
      <w:tr>
        <w:tc>
          <w:tcPr>
            <w:tcW w:type="dxa" w:w="938"/>
          </w:tcPr>
          <w:p w14:paraId="4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8700"/>
          </w:tcPr>
          <w:p w14:paraId="4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</w:tr>
      <w:tr>
        <w:tc>
          <w:tcPr>
            <w:tcW w:type="dxa" w:w="938"/>
          </w:tcPr>
          <w:p w14:paraId="5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8700"/>
          </w:tcPr>
          <w:p w14:paraId="5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согласованных публичных мероприятий</w:t>
            </w:r>
          </w:p>
        </w:tc>
      </w:tr>
      <w:tr>
        <w:tc>
          <w:tcPr>
            <w:tcW w:type="dxa" w:w="938"/>
          </w:tcPr>
          <w:p w14:paraId="5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8700"/>
          </w:tcPr>
          <w:p w14:paraId="5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несогласованных публичных мероприятий</w:t>
            </w:r>
          </w:p>
        </w:tc>
      </w:tr>
      <w:tr>
        <w:tc>
          <w:tcPr>
            <w:tcW w:type="dxa" w:w="938"/>
          </w:tcPr>
          <w:p w14:paraId="5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8700"/>
          </w:tcPr>
          <w:p w14:paraId="5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состоявшихся согласованных (несогласованных) публичных мероприятий</w:t>
            </w:r>
          </w:p>
        </w:tc>
      </w:tr>
      <w:tr>
        <w:tc>
          <w:tcPr>
            <w:tcW w:type="dxa" w:w="938"/>
          </w:tcPr>
          <w:p w14:paraId="5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8700"/>
          </w:tcPr>
          <w:p w14:paraId="5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 состоявшихся публичных мероприятий (по каждому мероприятию)</w:t>
            </w:r>
          </w:p>
        </w:tc>
      </w:tr>
      <w:tr>
        <w:tc>
          <w:tcPr>
            <w:tcW w:type="dxa" w:w="938"/>
          </w:tcPr>
          <w:p w14:paraId="58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8700"/>
          </w:tcPr>
          <w:p w14:paraId="59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</w:tr>
      <w:tr>
        <w:tc>
          <w:tcPr>
            <w:tcW w:type="dxa" w:w="938"/>
          </w:tcPr>
          <w:p w14:paraId="5A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8700"/>
          </w:tcPr>
          <w:p w14:paraId="5B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</w:tr>
      <w:tr>
        <w:tc>
          <w:tcPr>
            <w:tcW w:type="dxa" w:w="938"/>
          </w:tcPr>
          <w:p w14:paraId="5C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type="dxa" w:w="8700"/>
          </w:tcPr>
          <w:p w14:paraId="5D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</w:tr>
      <w:tr>
        <w:tc>
          <w:tcPr>
            <w:tcW w:type="dxa" w:w="938"/>
          </w:tcPr>
          <w:p w14:paraId="5E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type="dxa" w:w="8700"/>
          </w:tcPr>
          <w:p w14:paraId="5F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</w:tr>
      <w:tr>
        <w:tc>
          <w:tcPr>
            <w:tcW w:type="dxa" w:w="938"/>
          </w:tcPr>
          <w:p w14:paraId="60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type="dxa" w:w="8700"/>
          </w:tcPr>
          <w:p w14:paraId="61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</w:tr>
      <w:tr>
        <w:tc>
          <w:tcPr>
            <w:tcW w:type="dxa" w:w="938"/>
          </w:tcPr>
          <w:p w14:paraId="62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type="dxa" w:w="8700"/>
          </w:tcPr>
          <w:p w14:paraId="63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проведѐнных сходах граждан (дата и место проведения, количество участников, кто проводил, поднимаемые вопросы)</w:t>
            </w:r>
          </w:p>
        </w:tc>
      </w:tr>
      <w:tr>
        <w:tc>
          <w:tcPr>
            <w:tcW w:type="dxa" w:w="938"/>
          </w:tcPr>
          <w:p w14:paraId="64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type="dxa" w:w="8700"/>
          </w:tcPr>
          <w:p w14:paraId="65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Информация о фактах уничтожения посевов при несанкционированном выпасе скота</w:t>
            </w:r>
          </w:p>
        </w:tc>
      </w:tr>
      <w:tr>
        <w:tc>
          <w:tcPr>
            <w:tcW w:type="dxa" w:w="938"/>
          </w:tcPr>
          <w:p w14:paraId="66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type="dxa" w:w="8700"/>
          </w:tcPr>
          <w:p w14:paraId="67000000">
            <w:pPr>
              <w:pStyle w:val="Style_1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Этнический состав народной дружины</w:t>
            </w:r>
          </w:p>
        </w:tc>
      </w:tr>
    </w:tbl>
    <w:p w14:paraId="68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69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6A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6B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6C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6D000000">
      <w:pPr>
        <w:pStyle w:val="Style_1"/>
        <w:ind w:firstLine="360" w:left="0"/>
        <w:jc w:val="both"/>
        <w:rPr>
          <w:rFonts w:ascii="Times New Roman" w:hAnsi="Times New Roman"/>
          <w:sz w:val="28"/>
        </w:rPr>
      </w:pPr>
    </w:p>
    <w:p w14:paraId="6E000000">
      <w:pPr>
        <w:tabs>
          <w:tab w:leader="none" w:pos="6447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  <w:r>
        <w:rPr>
          <w:rFonts w:ascii="Times New Roman" w:hAnsi="Times New Roman"/>
          <w:sz w:val="28"/>
        </w:rPr>
        <w:t>Пешковского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А.В.Ковалев</w:t>
      </w:r>
    </w:p>
    <w:p w14:paraId="6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</w:t>
      </w:r>
    </w:p>
    <w:sectPr>
      <w:pgSz w:h="16838" w:orient="portrait" w:w="11906"/>
      <w:pgMar w:bottom="1106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table">
    <w:name w:val="Table Grid"/>
    <w:basedOn w:val="Style_2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2023-05-24T06:56:09Z</dcterms:modified>
</cp:coreProperties>
</file>