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7" w:rsidRDefault="00153E17" w:rsidP="005A3756">
      <w:pPr>
        <w:jc w:val="center"/>
        <w:rPr>
          <w:rFonts w:ascii="Times New Roman" w:hAnsi="Times New Roman"/>
          <w:sz w:val="28"/>
          <w:szCs w:val="28"/>
        </w:rPr>
      </w:pPr>
    </w:p>
    <w:p w:rsidR="00153E17" w:rsidRDefault="00AB2F30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350" cy="6477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17" w:rsidRDefault="00153E17" w:rsidP="005A3756">
      <w:pPr>
        <w:jc w:val="center"/>
        <w:rPr>
          <w:rFonts w:ascii="Times New Roman" w:hAnsi="Times New Roman"/>
          <w:sz w:val="28"/>
          <w:szCs w:val="28"/>
        </w:rPr>
      </w:pPr>
    </w:p>
    <w:p w:rsidR="001601D4" w:rsidRDefault="001601D4" w:rsidP="00153E17">
      <w:pPr>
        <w:shd w:val="clear" w:color="auto" w:fill="FFFFFF"/>
        <w:tabs>
          <w:tab w:val="left" w:pos="71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3E17" w:rsidRPr="00153E17" w:rsidRDefault="00153E17" w:rsidP="00153E17">
      <w:pPr>
        <w:shd w:val="clear" w:color="auto" w:fill="FFFFFF"/>
        <w:tabs>
          <w:tab w:val="left" w:pos="71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E17">
        <w:rPr>
          <w:rFonts w:ascii="Times New Roman" w:hAnsi="Times New Roman"/>
          <w:b/>
          <w:color w:val="000000"/>
          <w:sz w:val="28"/>
          <w:szCs w:val="28"/>
        </w:rPr>
        <w:t>АДМИНИСТРАЦИЯ ПЕШКОВСКОГО СЕЛЬСКОГО ПОСЕЛЕНИЯ</w:t>
      </w:r>
    </w:p>
    <w:p w:rsidR="00797424" w:rsidRDefault="00797424" w:rsidP="00153E17">
      <w:pPr>
        <w:shd w:val="clear" w:color="auto" w:fill="FFFFFF"/>
        <w:tabs>
          <w:tab w:val="left" w:pos="7104"/>
        </w:tabs>
        <w:jc w:val="center"/>
        <w:rPr>
          <w:rFonts w:ascii="Times New Roman" w:hAnsi="Times New Roman"/>
          <w:color w:val="000000"/>
        </w:rPr>
      </w:pPr>
    </w:p>
    <w:p w:rsidR="00153E17" w:rsidRPr="00153E17" w:rsidRDefault="00153E17" w:rsidP="00153E17">
      <w:pPr>
        <w:shd w:val="clear" w:color="auto" w:fill="FFFFFF"/>
        <w:tabs>
          <w:tab w:val="left" w:pos="7104"/>
        </w:tabs>
        <w:jc w:val="center"/>
        <w:rPr>
          <w:rFonts w:ascii="Times New Roman" w:hAnsi="Times New Roman"/>
          <w:color w:val="000000"/>
        </w:rPr>
      </w:pPr>
      <w:r w:rsidRPr="00153E17">
        <w:rPr>
          <w:rFonts w:ascii="Times New Roman" w:hAnsi="Times New Roman"/>
          <w:color w:val="000000"/>
        </w:rPr>
        <w:t>346760, РФ, Ростовская обл., Азовский р-н., с.Пешково, пер. Октябрьский, 22</w:t>
      </w:r>
    </w:p>
    <w:p w:rsidR="00153E17" w:rsidRPr="00797424" w:rsidRDefault="00153E17" w:rsidP="00153E17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rFonts w:ascii="Times New Roman" w:hAnsi="Times New Roman"/>
          <w:color w:val="000000"/>
        </w:rPr>
      </w:pPr>
      <w:r w:rsidRPr="00153E17">
        <w:rPr>
          <w:rFonts w:ascii="Times New Roman" w:hAnsi="Times New Roman"/>
          <w:color w:val="000000"/>
        </w:rPr>
        <w:t>тел</w:t>
      </w:r>
      <w:r w:rsidRPr="00797424">
        <w:rPr>
          <w:rFonts w:ascii="Times New Roman" w:hAnsi="Times New Roman"/>
          <w:color w:val="000000"/>
        </w:rPr>
        <w:t xml:space="preserve">.: (886342) 3-01-11, 3-68-68, 3-01-51, 3-68-40, </w:t>
      </w:r>
    </w:p>
    <w:p w:rsidR="00153E17" w:rsidRPr="00797424" w:rsidRDefault="00153E17" w:rsidP="00153E17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rFonts w:ascii="Times New Roman" w:hAnsi="Times New Roman"/>
          <w:color w:val="000000"/>
        </w:rPr>
      </w:pPr>
      <w:r w:rsidRPr="00153E17">
        <w:rPr>
          <w:rFonts w:ascii="Times New Roman" w:hAnsi="Times New Roman"/>
          <w:color w:val="000000"/>
          <w:lang w:val="en-US"/>
        </w:rPr>
        <w:t>e</w:t>
      </w:r>
      <w:r w:rsidRPr="00797424">
        <w:rPr>
          <w:rFonts w:ascii="Times New Roman" w:hAnsi="Times New Roman"/>
          <w:color w:val="000000"/>
        </w:rPr>
        <w:t>-</w:t>
      </w:r>
      <w:r w:rsidRPr="00153E17">
        <w:rPr>
          <w:rFonts w:ascii="Times New Roman" w:hAnsi="Times New Roman"/>
          <w:color w:val="000000"/>
          <w:lang w:val="en-US"/>
        </w:rPr>
        <w:t>mail</w:t>
      </w:r>
      <w:r w:rsidRPr="00797424">
        <w:rPr>
          <w:rFonts w:ascii="Times New Roman" w:hAnsi="Times New Roman"/>
          <w:color w:val="000000"/>
        </w:rPr>
        <w:t xml:space="preserve">: </w:t>
      </w:r>
      <w:r w:rsidRPr="00153E17">
        <w:rPr>
          <w:rFonts w:ascii="Times New Roman" w:hAnsi="Times New Roman"/>
          <w:color w:val="000000"/>
          <w:lang w:val="en-US"/>
        </w:rPr>
        <w:t>PeshkovskoeSP</w:t>
      </w:r>
      <w:r w:rsidRPr="00797424">
        <w:rPr>
          <w:rFonts w:ascii="Times New Roman" w:hAnsi="Times New Roman"/>
          <w:color w:val="000000"/>
        </w:rPr>
        <w:t>@</w:t>
      </w:r>
      <w:r w:rsidRPr="00153E17">
        <w:rPr>
          <w:rFonts w:ascii="Times New Roman" w:hAnsi="Times New Roman"/>
          <w:color w:val="000000"/>
          <w:lang w:val="en-US"/>
        </w:rPr>
        <w:t>yandex</w:t>
      </w:r>
      <w:r w:rsidRPr="00797424">
        <w:rPr>
          <w:rFonts w:ascii="Times New Roman" w:hAnsi="Times New Roman"/>
          <w:color w:val="000000"/>
        </w:rPr>
        <w:t>.</w:t>
      </w:r>
      <w:r w:rsidRPr="00153E17">
        <w:rPr>
          <w:rFonts w:ascii="Times New Roman" w:hAnsi="Times New Roman"/>
          <w:color w:val="000000"/>
          <w:lang w:val="en-US"/>
        </w:rPr>
        <w:t>ru</w:t>
      </w:r>
      <w:r w:rsidRPr="00797424">
        <w:rPr>
          <w:rFonts w:ascii="Times New Roman" w:hAnsi="Times New Roman"/>
          <w:color w:val="000000"/>
        </w:rPr>
        <w:t xml:space="preserve">, </w:t>
      </w:r>
      <w:r w:rsidRPr="00153E17">
        <w:rPr>
          <w:rFonts w:ascii="Times New Roman" w:hAnsi="Times New Roman"/>
          <w:color w:val="000000"/>
          <w:lang w:val="en-US"/>
        </w:rPr>
        <w:t>sp</w:t>
      </w:r>
      <w:r w:rsidRPr="00797424">
        <w:rPr>
          <w:rFonts w:ascii="Times New Roman" w:hAnsi="Times New Roman"/>
          <w:color w:val="000000"/>
        </w:rPr>
        <w:t>01016@</w:t>
      </w:r>
      <w:r w:rsidRPr="00153E17">
        <w:rPr>
          <w:rFonts w:ascii="Times New Roman" w:hAnsi="Times New Roman"/>
          <w:color w:val="000000"/>
          <w:lang w:val="en-US"/>
        </w:rPr>
        <w:t>donpac</w:t>
      </w:r>
      <w:r w:rsidRPr="00797424">
        <w:rPr>
          <w:rFonts w:ascii="Times New Roman" w:hAnsi="Times New Roman"/>
          <w:color w:val="000000"/>
        </w:rPr>
        <w:t>.</w:t>
      </w:r>
      <w:r w:rsidRPr="00153E17">
        <w:rPr>
          <w:rFonts w:ascii="Times New Roman" w:hAnsi="Times New Roman"/>
          <w:color w:val="000000"/>
          <w:lang w:val="en-US"/>
        </w:rPr>
        <w:t>ru</w:t>
      </w:r>
    </w:p>
    <w:p w:rsidR="00153E17" w:rsidRPr="00797424" w:rsidRDefault="00153E17" w:rsidP="00153E17">
      <w:pPr>
        <w:shd w:val="clear" w:color="auto" w:fill="FFFFFF"/>
        <w:tabs>
          <w:tab w:val="left" w:pos="7104"/>
        </w:tabs>
        <w:jc w:val="center"/>
        <w:rPr>
          <w:rFonts w:ascii="Times New Roman" w:hAnsi="Times New Roman"/>
          <w:color w:val="000000"/>
        </w:rPr>
      </w:pPr>
    </w:p>
    <w:p w:rsidR="00153E17" w:rsidRPr="00797424" w:rsidRDefault="00153E17" w:rsidP="005A3756">
      <w:pPr>
        <w:jc w:val="center"/>
        <w:rPr>
          <w:rFonts w:ascii="Times New Roman" w:hAnsi="Times New Roman"/>
          <w:sz w:val="28"/>
          <w:szCs w:val="28"/>
        </w:rPr>
      </w:pPr>
    </w:p>
    <w:p w:rsidR="00153E17" w:rsidRPr="00797424" w:rsidRDefault="00153E17" w:rsidP="005A3756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5A3756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5A3756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5A3756" w:rsidTr="00A529D8">
        <w:tc>
          <w:tcPr>
            <w:tcW w:w="3969" w:type="dxa"/>
          </w:tcPr>
          <w:p w:rsidR="00FF5A24" w:rsidRPr="005A3756" w:rsidRDefault="00FF5A24" w:rsidP="00F0088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088B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088B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5A3756" w:rsidRDefault="00FF5A24" w:rsidP="001601D4">
            <w:pPr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FF5A24" w:rsidRPr="005A3756" w:rsidRDefault="001601D4" w:rsidP="00F008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0088B">
              <w:rPr>
                <w:rFonts w:ascii="Times New Roman" w:hAnsi="Times New Roman"/>
                <w:sz w:val="28"/>
                <w:szCs w:val="28"/>
              </w:rPr>
              <w:t xml:space="preserve"> 106</w:t>
            </w:r>
          </w:p>
        </w:tc>
      </w:tr>
    </w:tbl>
    <w:p w:rsidR="00FF5A24" w:rsidRPr="005A3756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Default="00FF5A24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 w:rsidR="00E6098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E60989">
              <w:rPr>
                <w:rFonts w:ascii="Times New Roman" w:hAnsi="Times New Roman"/>
                <w:sz w:val="28"/>
                <w:szCs w:val="28"/>
              </w:rPr>
              <w:t xml:space="preserve">Пешковского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FF5A24" w:rsidRPr="005A3756" w:rsidRDefault="00FF5A24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FF5A24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5A3756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5A3756" w:rsidRDefault="00FF5A24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FF5A24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5A3756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5A3756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E60989" w:rsidRDefault="00FF5A24" w:rsidP="00E6098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Утвердить Памятку муниципальным служащим </w:t>
      </w:r>
      <w:r w:rsidR="00E60989">
        <w:rPr>
          <w:rFonts w:ascii="Times New Roman" w:hAnsi="Times New Roman"/>
          <w:sz w:val="28"/>
          <w:szCs w:val="28"/>
        </w:rPr>
        <w:t xml:space="preserve">администрации Пешковского сельского поселения </w:t>
      </w:r>
      <w:r w:rsidRPr="00E60989">
        <w:rPr>
          <w:rFonts w:ascii="Times New Roman" w:hAnsi="Times New Roman"/>
          <w:sz w:val="28"/>
          <w:szCs w:val="28"/>
        </w:rPr>
        <w:t>по недопущению ситуаций конфликта интересов на муниципальной службе и порядку их урегулирования согласно приложению.</w:t>
      </w:r>
    </w:p>
    <w:p w:rsidR="00E60989" w:rsidRDefault="00E60989" w:rsidP="00E6098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Специалисту</w:t>
      </w:r>
      <w:r w:rsidR="00AB2F30">
        <w:rPr>
          <w:rFonts w:ascii="Times New Roman" w:hAnsi="Times New Roman"/>
          <w:sz w:val="28"/>
          <w:szCs w:val="28"/>
        </w:rPr>
        <w:t>, ответственному за работу отдела кадров</w:t>
      </w:r>
      <w:r>
        <w:rPr>
          <w:rFonts w:ascii="Times New Roman" w:hAnsi="Times New Roman"/>
          <w:sz w:val="28"/>
          <w:szCs w:val="28"/>
        </w:rPr>
        <w:t xml:space="preserve"> Администрации Пешковского сельского поселения </w:t>
      </w:r>
      <w:r w:rsidR="00AB2F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С.П. Марченко</w:t>
      </w:r>
      <w:r w:rsidR="00AB2F30">
        <w:rPr>
          <w:rFonts w:ascii="Times New Roman" w:hAnsi="Times New Roman"/>
          <w:sz w:val="28"/>
          <w:szCs w:val="28"/>
        </w:rPr>
        <w:t>), довести настоящее Постановление до сведения работников Администрации Пешковского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0989" w:rsidRDefault="00E60989" w:rsidP="00E60989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E60989" w:rsidRDefault="00E60989" w:rsidP="00E60989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Настоящее постановление вступает в силу со дня его официального опубликования.</w:t>
      </w: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Пешковского </w:t>
      </w:r>
    </w:p>
    <w:p w:rsidR="00E60989" w:rsidRDefault="00E60989" w:rsidP="00E60989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С.В.Ляшенко</w:t>
      </w:r>
    </w:p>
    <w:p w:rsidR="00FF5A24" w:rsidRPr="00972CBC" w:rsidRDefault="00AB2F30" w:rsidP="00AB2F30">
      <w:pPr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FF5A24" w:rsidRPr="00972CBC">
        <w:rPr>
          <w:rFonts w:ascii="Times New Roman" w:hAnsi="Times New Roman"/>
          <w:sz w:val="28"/>
          <w:szCs w:val="28"/>
        </w:rPr>
        <w:t>Приложение</w:t>
      </w:r>
    </w:p>
    <w:p w:rsidR="00FF5A24" w:rsidRPr="00972CBC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60989">
        <w:rPr>
          <w:rFonts w:ascii="Times New Roman" w:hAnsi="Times New Roman"/>
          <w:sz w:val="28"/>
          <w:szCs w:val="28"/>
        </w:rPr>
        <w:t>Пешковского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A24" w:rsidRPr="00972CBC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AB2F30">
        <w:rPr>
          <w:rFonts w:ascii="Times New Roman" w:hAnsi="Times New Roman"/>
          <w:sz w:val="28"/>
          <w:szCs w:val="28"/>
        </w:rPr>
        <w:t xml:space="preserve">30.05.2013г.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2F30">
        <w:rPr>
          <w:rFonts w:ascii="Times New Roman" w:hAnsi="Times New Roman"/>
          <w:sz w:val="28"/>
          <w:szCs w:val="28"/>
        </w:rPr>
        <w:t xml:space="preserve"> 106</w:t>
      </w:r>
    </w:p>
    <w:p w:rsidR="00FF5A24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FF5A24" w:rsidRPr="00972CBC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FF5A24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989">
        <w:rPr>
          <w:rFonts w:ascii="Times New Roman" w:hAnsi="Times New Roman"/>
          <w:sz w:val="28"/>
          <w:szCs w:val="28"/>
        </w:rPr>
        <w:t>Пешковского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FF5A24" w:rsidRPr="00C4275F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FF5A24" w:rsidRPr="00C4275F" w:rsidRDefault="00FF5A24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F5A24" w:rsidRPr="00C4275F" w:rsidRDefault="00FF5A24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FF5A24" w:rsidRPr="002625DF" w:rsidRDefault="00FF5A24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AB2F30" w:rsidRDefault="00AB2F30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A9665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lastRenderedPageBreak/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</w:t>
      </w:r>
      <w:r w:rsidRPr="00C4275F">
        <w:rPr>
          <w:rFonts w:ascii="Times New Roman" w:hAnsi="Times New Roman"/>
          <w:sz w:val="28"/>
          <w:szCs w:val="28"/>
        </w:rPr>
        <w:lastRenderedPageBreak/>
        <w:t>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F5A24" w:rsidRPr="00C4275F" w:rsidRDefault="00FF5A24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FF5A24" w:rsidRPr="00C4275F" w:rsidRDefault="00FF5A24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FF5A24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lastRenderedPageBreak/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FF5A24" w:rsidRPr="00DC2E72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FF5A24" w:rsidRPr="00DC2E72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DC2E72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FF5A24" w:rsidRPr="00DC2E72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обладает дискреционными </w:t>
      </w:r>
      <w:r w:rsidRPr="00C4275F">
        <w:rPr>
          <w:rFonts w:ascii="Times New Roman" w:hAnsi="Times New Roman"/>
          <w:sz w:val="28"/>
          <w:szCs w:val="28"/>
        </w:rPr>
        <w:lastRenderedPageBreak/>
        <w:t>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lastRenderedPageBreak/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Default="00FF5A24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FF5A24" w:rsidRPr="00C4275F" w:rsidRDefault="00FF5A24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F5A24" w:rsidRPr="00CF1DC8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lastRenderedPageBreak/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5. Конфликт интересов, связанный с имущественными обязательствами и судебными разбирательствами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54622E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FF5A24" w:rsidRPr="0054622E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</w:t>
      </w:r>
      <w:r w:rsidRPr="0054622E">
        <w:rPr>
          <w:rFonts w:ascii="Times New Roman" w:hAnsi="Times New Roman"/>
          <w:sz w:val="28"/>
          <w:szCs w:val="28"/>
        </w:rPr>
        <w:lastRenderedPageBreak/>
        <w:t>родственниками, или иными лицами, с которыми связана личная заинтересованность муниципального служащего.</w:t>
      </w:r>
    </w:p>
    <w:p w:rsidR="00FF5A24" w:rsidRPr="0054622E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54622E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54622E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FF5A24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Default="00FF5A24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DF0187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Default="00FF5A24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A09" w:rsidRDefault="008C3A09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F30" w:rsidRDefault="00AB2F30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F30" w:rsidRDefault="00AB2F30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F30" w:rsidRDefault="00AB2F30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C4275F" w:rsidRDefault="00FF5A24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</w:t>
      </w:r>
      <w:r w:rsidR="008C3A09"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 w:rsidR="008C3A09"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</w:t>
      </w:r>
      <w:r w:rsidR="008C3A09"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F5A24" w:rsidRPr="00972CBC" w:rsidRDefault="00FF5A24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FF5A24" w:rsidRPr="00972CBC" w:rsidSect="002658FF">
      <w:foot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D5" w:rsidRDefault="00336AD5">
      <w:r>
        <w:separator/>
      </w:r>
    </w:p>
  </w:endnote>
  <w:endnote w:type="continuationSeparator" w:id="1">
    <w:p w:rsidR="00336AD5" w:rsidRDefault="0033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Default="00683398">
    <w:pPr>
      <w:pStyle w:val="a3"/>
      <w:jc w:val="right"/>
    </w:pPr>
    <w:fldSimple w:instr=" PAGE   \* MERGEFORMAT ">
      <w:r w:rsidR="00797424">
        <w:rPr>
          <w:noProof/>
        </w:rPr>
        <w:t>20</w:t>
      </w:r>
    </w:fldSimple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D5" w:rsidRDefault="00336AD5">
      <w:r>
        <w:separator/>
      </w:r>
    </w:p>
  </w:footnote>
  <w:footnote w:type="continuationSeparator" w:id="1">
    <w:p w:rsidR="00336AD5" w:rsidRDefault="0033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AE047F"/>
    <w:multiLevelType w:val="hybridMultilevel"/>
    <w:tmpl w:val="BDD6681C"/>
    <w:lvl w:ilvl="0" w:tplc="51DCE5D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4698"/>
    <w:rsid w:val="000452C7"/>
    <w:rsid w:val="00047875"/>
    <w:rsid w:val="00053012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E4798"/>
    <w:rsid w:val="000F1AE7"/>
    <w:rsid w:val="000F287A"/>
    <w:rsid w:val="00100A80"/>
    <w:rsid w:val="001055A8"/>
    <w:rsid w:val="001152A6"/>
    <w:rsid w:val="00122195"/>
    <w:rsid w:val="00123CC5"/>
    <w:rsid w:val="00153E17"/>
    <w:rsid w:val="001561EC"/>
    <w:rsid w:val="001567E7"/>
    <w:rsid w:val="001601D4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36AD5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0735B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83398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97424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219B4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3A09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B2F30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85D47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2D55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0989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088B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4771F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Петровна</cp:lastModifiedBy>
  <cp:revision>3</cp:revision>
  <cp:lastPrinted>2013-06-10T07:23:00Z</cp:lastPrinted>
  <dcterms:created xsi:type="dcterms:W3CDTF">2013-04-29T08:09:00Z</dcterms:created>
  <dcterms:modified xsi:type="dcterms:W3CDTF">2015-06-02T11:29:00Z</dcterms:modified>
</cp:coreProperties>
</file>